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360" w:before="0" w:after="140"/>
        <w:ind w:left="0" w:right="0" w:firstLine="1134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>Конструкции с сентенциальными актантами в кининском диалекте рутульского языка</w:t>
      </w:r>
    </w:p>
    <w:p>
      <w:pPr>
        <w:pStyle w:val="Style17"/>
        <w:spacing w:lineRule="auto" w:line="360" w:before="0" w:after="140"/>
        <w:ind w:left="0" w:right="0" w:firstLine="1134"/>
        <w:jc w:val="center"/>
        <w:rPr>
          <w:rFonts w:ascii="Liberation Serif" w:hAnsi="Liberation Serif"/>
          <w:i/>
          <w:i/>
          <w:iCs/>
        </w:rPr>
      </w:pPr>
      <w:r>
        <w:rPr>
          <w:b w:val="false"/>
          <w:bCs w:val="false"/>
          <w:i/>
          <w:iCs/>
        </w:rPr>
        <w:t>В. М. Морозова (НИУ ВШЭ, Школа Лингвистики, Москва)</w:t>
      </w:r>
    </w:p>
    <w:p>
      <w:pPr>
        <w:pStyle w:val="Style17"/>
        <w:spacing w:lineRule="auto" w:line="360" w:before="0" w:after="140"/>
        <w:ind w:left="0" w:right="0" w:firstLine="1134"/>
        <w:rPr/>
      </w:pPr>
      <w:r>
        <w:rPr>
          <w:i w:val="false"/>
          <w:iCs w:val="false"/>
        </w:rPr>
        <w:t xml:space="preserve">Рутульский язык </w:t>
      </w:r>
      <w:r>
        <w:rPr>
          <w:i w:val="false"/>
          <w:iCs w:val="false"/>
        </w:rPr>
        <w:t>относится</w:t>
      </w:r>
      <w:r>
        <w:rPr>
          <w:i w:val="false"/>
          <w:iCs w:val="false"/>
        </w:rPr>
        <w:t xml:space="preserve"> к лезгинской группе нахско-дагестанских языков. Он распространен в </w:t>
      </w:r>
      <w:r>
        <w:rPr>
          <w:i w:val="false"/>
          <w:iCs w:val="false"/>
        </w:rPr>
        <w:t>Р</w:t>
      </w:r>
      <w:r>
        <w:rPr>
          <w:i w:val="false"/>
          <w:iCs w:val="false"/>
        </w:rPr>
        <w:t xml:space="preserve">утульском районе </w:t>
      </w:r>
      <w:r>
        <w:rPr>
          <w:i w:val="false"/>
          <w:iCs w:val="false"/>
        </w:rPr>
        <w:t>Р</w:t>
      </w:r>
      <w:r>
        <w:rPr>
          <w:i w:val="false"/>
          <w:iCs w:val="false"/>
        </w:rPr>
        <w:t xml:space="preserve">еспублики Дагестан и в </w:t>
      </w:r>
      <w:r>
        <w:rPr>
          <w:i w:val="false"/>
          <w:iCs w:val="false"/>
        </w:rPr>
        <w:t>некоторых селах на сопредельной территории</w:t>
      </w:r>
      <w:r>
        <w:rPr>
          <w:i w:val="false"/>
          <w:iCs w:val="false"/>
        </w:rPr>
        <w:t xml:space="preserve"> Азербайджана (число носителей на территории России — около 30 000 человек). В рутульском языке существует ряд предикатов, принимающих в качестве комплемента </w:t>
      </w:r>
      <w:r>
        <w:rPr>
          <w:i w:val="false"/>
          <w:iCs w:val="false"/>
        </w:rPr>
        <w:t>клаузу</w:t>
      </w:r>
      <w:r>
        <w:rPr>
          <w:i w:val="false"/>
          <w:iCs w:val="false"/>
        </w:rPr>
        <w:t xml:space="preserve">. Задача данной работы — типологическое описание </w:t>
      </w:r>
      <w:r>
        <w:rPr>
          <w:i w:val="false"/>
          <w:iCs w:val="false"/>
        </w:rPr>
        <w:t>конструкций с сентенциальными актантами</w:t>
      </w:r>
      <w:r>
        <w:rPr>
          <w:i w:val="false"/>
          <w:iCs w:val="false"/>
        </w:rPr>
        <w:t xml:space="preserve"> КСА в кининском диалекте рутульского языка на материал</w:t>
      </w:r>
      <w:r>
        <w:rPr>
          <w:i w:val="false"/>
          <w:iCs w:val="false"/>
        </w:rPr>
        <w:t>е</w:t>
      </w:r>
      <w:r>
        <w:rPr>
          <w:i w:val="false"/>
          <w:iCs w:val="false"/>
        </w:rPr>
        <w:t xml:space="preserve"> полевой работы </w:t>
      </w:r>
      <w:r>
        <w:rPr>
          <w:i w:val="false"/>
          <w:iCs w:val="false"/>
        </w:rPr>
        <w:t xml:space="preserve">в с Кина 2018 г. </w:t>
      </w:r>
      <w:r>
        <w:rPr>
          <w:i w:val="false"/>
          <w:iCs w:val="false"/>
        </w:rPr>
        <w:t xml:space="preserve">в сравнительной перспективе с цахурским языком. </w:t>
      </w:r>
      <w:r>
        <w:rPr>
          <w:i w:val="false"/>
          <w:iCs w:val="false"/>
        </w:rPr>
        <w:t>Подобного описания КСА для рутульского языка ранее не производилось.</w:t>
      </w:r>
    </w:p>
    <w:p>
      <w:pPr>
        <w:pStyle w:val="Style17"/>
        <w:spacing w:lineRule="auto" w:line="360" w:before="0" w:after="140"/>
        <w:ind w:left="0" w:right="0" w:firstLine="1134"/>
        <w:rPr/>
      </w:pPr>
      <w:r>
        <w:rPr>
          <w:i w:val="false"/>
          <w:iCs w:val="false"/>
          <w:color w:val="000000"/>
          <w:sz w:val="24"/>
          <w:szCs w:val="24"/>
        </w:rPr>
        <w:t>В результате работы было выявлено шесть стратегий оформления КСА в кининском рутульском. Одна из наиболее распространенных — «нулевая» стратегия [</w:t>
      </w:r>
      <w:r>
        <w:rPr>
          <w:rStyle w:val="Style14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Бонч-Осмоловская, Лютикова, 1999</w:t>
      </w:r>
      <w:r>
        <w:rPr>
          <w:i w:val="false"/>
          <w:iCs w:val="false"/>
          <w:color w:val="000000"/>
          <w:sz w:val="24"/>
          <w:szCs w:val="24"/>
        </w:rPr>
        <w:t xml:space="preserve">], при которой зависимая клауза оформляется так же, как независимая. </w:t>
      </w:r>
      <w:r>
        <w:rPr>
          <w:i w:val="false"/>
          <w:iCs w:val="false"/>
          <w:color w:val="000000"/>
          <w:sz w:val="24"/>
          <w:szCs w:val="24"/>
        </w:rPr>
        <w:t>Клаузы могут соединяться как бессоюзно, так при помощи вопросительных слов или комплементайзера «xur».</w:t>
      </w:r>
      <w:r>
        <w:rPr>
          <w:i w:val="false"/>
          <w:iCs w:val="false"/>
          <w:color w:val="000000"/>
          <w:sz w:val="24"/>
          <w:szCs w:val="24"/>
        </w:rPr>
        <w:t xml:space="preserve"> Для глаголов речи характерно прямое цитирование.</w:t>
      </w:r>
    </w:p>
    <w:p>
      <w:pPr>
        <w:pStyle w:val="Style17"/>
        <w:spacing w:lineRule="auto" w:line="360" w:before="0" w:after="140"/>
        <w:ind w:left="0" w:right="0" w:firstLine="1191"/>
        <w:rPr/>
      </w:pPr>
      <w:r>
        <w:rPr>
          <w:i w:val="false"/>
          <w:iCs w:val="false"/>
        </w:rPr>
        <w:t>Настолько же распространена инфинитивная стратегия, при которой недопустима разносубъектность, а зависимый предикат оформляется формой на -s.  Также зафиксирована расширенная финитно-инфинитивная стратегия, при которой предикаты допускают разносубъектность при маркировании зависимого предиката футуральной формой на -s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3"/>
          <w:u w:val="none"/>
          <w:em w:val="none"/>
        </w:rPr>
        <w:t xml:space="preserve">ɨ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(производной от инфинитива)</w:t>
      </w:r>
      <w:r>
        <w:rPr>
          <w:i w:val="false"/>
          <w:iCs w:val="false"/>
        </w:rPr>
        <w:t xml:space="preserve">. Присутствует и ряд периферийных стратегий: причастная (зависимый предикат представлен </w:t>
      </w:r>
      <w:r>
        <w:rPr>
          <w:i w:val="false"/>
          <w:iCs w:val="false"/>
        </w:rPr>
        <w:t>атрибутивной</w:t>
      </w:r>
      <w:r>
        <w:rPr>
          <w:i w:val="false"/>
          <w:iCs w:val="false"/>
        </w:rPr>
        <w:t xml:space="preserve"> формой на -d</w:t>
      </w:r>
      <w:r>
        <w:rPr>
          <w:i w:val="false"/>
          <w:iCs w:val="false"/>
        </w:rPr>
        <w:t>)</w:t>
      </w:r>
      <w:r>
        <w:rPr>
          <w:i w:val="false"/>
          <w:iCs w:val="false"/>
        </w:rPr>
        <w:t xml:space="preserve">, масдарная (зависимый предикат — отглагольное имя на -n). Отдельного внимания </w:t>
      </w:r>
      <w:r>
        <w:rPr>
          <w:i w:val="false"/>
          <w:iCs w:val="false"/>
        </w:rPr>
        <w:t>заслуживает</w:t>
      </w:r>
      <w:r>
        <w:rPr>
          <w:i w:val="false"/>
          <w:iCs w:val="false"/>
        </w:rPr>
        <w:t xml:space="preserve"> конвербная стратегия: в связи с частотным использованием в рутульском языке общего конверба на -r как финитного глагола, оформление зависимого предиката при данной стратегии схоже с «нулевой» стратегией. Однако в этом случае предикат будет нефинитным, в отличие от «нулевой» стратегии. Это следует </w:t>
      </w:r>
      <w:r>
        <w:rPr>
          <w:i w:val="false"/>
          <w:iCs w:val="false"/>
        </w:rPr>
        <w:t xml:space="preserve">из </w:t>
      </w:r>
      <w:r>
        <w:rPr>
          <w:i w:val="false"/>
          <w:iCs w:val="false"/>
        </w:rPr>
        <w:t xml:space="preserve">обзязательности </w:t>
      </w:r>
      <w:r>
        <w:rPr>
          <w:i w:val="false"/>
          <w:iCs w:val="false"/>
        </w:rPr>
        <w:t xml:space="preserve">префиксального </w:t>
      </w:r>
      <w:r>
        <w:rPr>
          <w:i w:val="false"/>
          <w:iCs w:val="false"/>
        </w:rPr>
        <w:t xml:space="preserve">отрицания на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ǯ-</w:t>
      </w:r>
      <w:r>
        <w:rPr>
          <w:i w:val="false"/>
          <w:iCs w:val="false"/>
        </w:rPr>
        <w:t>, допустимого при предикате в зависимой клаузе, использование которого зафиксировано только при нефинитных глаголах (для финитных глаголов характерно отрицание на -d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3"/>
          <w:u w:val="none"/>
          <w:em w:val="none"/>
        </w:rPr>
        <w:t>ɨ</w:t>
      </w:r>
      <w:r>
        <w:rPr>
          <w:b w:val="false"/>
          <w:i w:val="false"/>
          <w:iCs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š-</w:t>
      </w:r>
      <w:r>
        <w:rPr>
          <w:i w:val="false"/>
          <w:iCs w:val="false"/>
        </w:rPr>
        <w:t>).</w:t>
      </w:r>
    </w:p>
    <w:p>
      <w:pPr>
        <w:pStyle w:val="Style17"/>
        <w:spacing w:lineRule="auto" w:line="360" w:before="0" w:after="140"/>
        <w:ind w:left="0" w:right="0" w:firstLine="1134"/>
        <w:rPr/>
      </w:pPr>
      <w:r>
        <w:rPr>
          <w:i w:val="false"/>
          <w:iCs w:val="false"/>
          <w:color w:val="000000"/>
          <w:sz w:val="24"/>
          <w:szCs w:val="24"/>
        </w:rPr>
        <w:t xml:space="preserve">Также были выявлены основные способы согласования матричного предиката. </w:t>
      </w:r>
      <w:r>
        <w:rPr>
          <w:i w:val="false"/>
          <w:iCs w:val="false"/>
          <w:color w:val="000000"/>
          <w:sz w:val="24"/>
          <w:szCs w:val="24"/>
        </w:rPr>
        <w:t>В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 xml:space="preserve"> рутульском представлено согласование по роду, которое по умолчанию контролирует абсолютивная именная группа.</w:t>
      </w:r>
      <w:r>
        <w:rPr>
          <w:i w:val="false"/>
          <w:iCs w:val="false"/>
          <w:color w:val="000000"/>
          <w:sz w:val="24"/>
          <w:szCs w:val="24"/>
        </w:rPr>
        <w:t xml:space="preserve"> </w:t>
      </w:r>
      <w:r>
        <w:rPr>
          <w:i w:val="false"/>
          <w:iCs w:val="false"/>
          <w:color w:val="000000"/>
          <w:sz w:val="24"/>
          <w:szCs w:val="24"/>
        </w:rPr>
        <w:t>В</w:t>
      </w:r>
      <w:r>
        <w:rPr>
          <w:i w:val="false"/>
          <w:iCs w:val="false"/>
          <w:color w:val="000000"/>
          <w:sz w:val="24"/>
          <w:szCs w:val="24"/>
        </w:rPr>
        <w:t xml:space="preserve"> КСА </w:t>
      </w:r>
      <w:r>
        <w:rPr>
          <w:i w:val="false"/>
          <w:iCs w:val="false"/>
          <w:color w:val="000000"/>
          <w:sz w:val="24"/>
          <w:szCs w:val="24"/>
        </w:rPr>
        <w:t>согласование может происходить</w:t>
      </w:r>
      <w:r>
        <w:rPr>
          <w:i w:val="false"/>
          <w:iCs w:val="false"/>
          <w:color w:val="000000"/>
          <w:sz w:val="24"/>
          <w:szCs w:val="24"/>
        </w:rPr>
        <w:t xml:space="preserve">: по субъекту матричной клаузы (в случае, если субъект абсолютивный), по всей зависимой клаузе (в случае, если валентность на абсолютивный аргумент занята </w:t>
      </w:r>
      <w:r>
        <w:rPr>
          <w:i w:val="false"/>
          <w:iCs w:val="false"/>
          <w:color w:val="000000"/>
          <w:sz w:val="24"/>
          <w:szCs w:val="24"/>
        </w:rPr>
        <w:t>клаузой — согласование происходит по 4 классу</w:t>
      </w:r>
      <w:r>
        <w:rPr>
          <w:i w:val="false"/>
          <w:iCs w:val="false"/>
          <w:color w:val="000000"/>
          <w:sz w:val="24"/>
          <w:szCs w:val="24"/>
        </w:rPr>
        <w:t>) и по именной части составного предиката (как правило, 3 или 4 класс). Отдельный интерес представляют случаи «прозрачного» согласования, аналогичные цахурскому [</w:t>
      </w:r>
      <w:r>
        <w:rPr>
          <w:rStyle w:val="Style14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Бонч-Осмоловская, Лютикова, 1999</w:t>
      </w:r>
      <w:r>
        <w:rPr>
          <w:i w:val="false"/>
          <w:iCs w:val="false"/>
          <w:color w:val="000000"/>
          <w:sz w:val="24"/>
          <w:szCs w:val="24"/>
        </w:rPr>
        <w:t xml:space="preserve">], при которых предикат матричной клаузы согласуется с абсолютивом </w:t>
      </w:r>
      <w:r>
        <w:rPr>
          <w:i w:val="false"/>
          <w:iCs w:val="false"/>
          <w:color w:val="000000"/>
          <w:sz w:val="24"/>
          <w:szCs w:val="24"/>
        </w:rPr>
        <w:t>зависимой</w:t>
      </w:r>
      <w:r>
        <w:rPr>
          <w:i w:val="false"/>
          <w:iCs w:val="false"/>
          <w:color w:val="000000"/>
          <w:sz w:val="24"/>
          <w:szCs w:val="24"/>
        </w:rPr>
        <w:t xml:space="preserve">. Также зафиксированы случаи согласования с неабсолютивным аргументом (эргативом или дативом) в зависимой клаузе при наличии абсолютивного аргумента, но, как правило, в подобных ситуациях допустим выбор между абсолютивным и неабсолютивным аргументом. Феномен нестандартного согласования в дагестанских языках широко обсуждается в литературе на материалах даргинского ([Сумбатова 2014] и [Belyaev 2017]) и цезского [Postdam, Polinsky 2002] языков, но на сегодняшний день не существует единой интерпретации данного явления. </w:t>
      </w:r>
    </w:p>
    <w:p>
      <w:pPr>
        <w:pStyle w:val="Style17"/>
        <w:spacing w:lineRule="auto" w:line="360"/>
        <w:rPr>
          <w:rFonts w:ascii="Liberation Serif" w:hAnsi="Liberation Serif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Style17"/>
        <w:spacing w:lineRule="auto" w:line="360"/>
        <w:rPr/>
      </w:pPr>
      <w:r>
        <w:rPr>
          <w:rStyle w:val="Style14"/>
          <w:i w:val="false"/>
          <w:iCs w:val="false"/>
          <w:color w:val="000000"/>
          <w:sz w:val="24"/>
          <w:szCs w:val="24"/>
          <w:u w:val="none"/>
        </w:rPr>
        <w:t xml:space="preserve">Бонч-Осмоловская А. А., Лютикова Е. A. </w:t>
      </w:r>
      <w:r>
        <w:rPr>
          <w:i w:val="false"/>
          <w:iCs w:val="false"/>
          <w:color w:val="000000"/>
          <w:sz w:val="24"/>
          <w:szCs w:val="24"/>
          <w:u w:val="none"/>
        </w:rPr>
        <w:t xml:space="preserve">Актантные предложения // Элементы цахурского языка в типологическом освещении. Под ред. А.Е. Кибрика. — Москва: </w:t>
      </w:r>
      <w:r>
        <w:rPr>
          <w:i w:val="false"/>
          <w:iCs w:val="false"/>
          <w:color w:val="000000"/>
          <w:sz w:val="24"/>
          <w:szCs w:val="24"/>
          <w:u w:val="none"/>
        </w:rPr>
        <w:t>Наследие</w:t>
      </w:r>
      <w:r>
        <w:rPr>
          <w:i w:val="false"/>
          <w:iCs w:val="false"/>
          <w:color w:val="000000"/>
          <w:sz w:val="24"/>
          <w:szCs w:val="24"/>
          <w:u w:val="none"/>
        </w:rPr>
        <w:t>, 1999.</w:t>
      </w:r>
    </w:p>
    <w:p>
      <w:pPr>
        <w:pStyle w:val="Style17"/>
        <w:spacing w:lineRule="auto" w:line="360"/>
        <w:rPr/>
      </w:pPr>
      <w:r>
        <w:rPr>
          <w:rStyle w:val="Style14"/>
          <w:i w:val="false"/>
          <w:iCs w:val="false"/>
          <w:color w:val="000000"/>
          <w:sz w:val="24"/>
          <w:szCs w:val="24"/>
          <w:u w:val="none"/>
        </w:rPr>
        <w:t xml:space="preserve">Сумбатова Н. Р. </w:t>
      </w:r>
      <w:r>
        <w:rPr>
          <w:i w:val="false"/>
          <w:iCs w:val="false"/>
          <w:color w:val="000000"/>
          <w:sz w:val="24"/>
          <w:szCs w:val="24"/>
          <w:u w:val="none"/>
        </w:rPr>
        <w:t>В поисках подлежащего: контроль классного согласования и признаки грамматического приоритета в даргинском языке // Язык. Константы. Переменные. Памяти Александра Евгеньевича Кибрика / Под ред. М. А. Даниэль, Е. А. Лютикова, В. А. Плунгян и др. — С</w:t>
      </w:r>
      <w:r>
        <w:rPr>
          <w:i w:val="false"/>
          <w:iCs w:val="false"/>
          <w:color w:val="000000"/>
          <w:sz w:val="24"/>
          <w:szCs w:val="24"/>
          <w:u w:val="none"/>
        </w:rPr>
        <w:t>п</w:t>
      </w:r>
      <w:r>
        <w:rPr>
          <w:i w:val="false"/>
          <w:iCs w:val="false"/>
          <w:color w:val="000000"/>
          <w:sz w:val="24"/>
          <w:szCs w:val="24"/>
          <w:u w:val="none"/>
        </w:rPr>
        <w:t>б</w:t>
      </w:r>
      <w:r>
        <w:rPr>
          <w:i w:val="false"/>
          <w:iCs w:val="false"/>
          <w:color w:val="000000"/>
          <w:sz w:val="24"/>
          <w:szCs w:val="24"/>
          <w:u w:val="none"/>
        </w:rPr>
        <w:t>.: Алетейя</w:t>
      </w:r>
      <w:r>
        <w:rPr>
          <w:i w:val="false"/>
          <w:iCs w:val="false"/>
          <w:color w:val="000000"/>
          <w:sz w:val="24"/>
          <w:szCs w:val="24"/>
          <w:u w:val="none"/>
        </w:rPr>
        <w:t>, 2014. — С. 499–517.</w:t>
      </w:r>
    </w:p>
    <w:p>
      <w:pPr>
        <w:pStyle w:val="Style17"/>
        <w:spacing w:lineRule="auto" w:line="360"/>
        <w:rPr/>
      </w:pPr>
      <w:r>
        <w:rPr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  <w:t xml:space="preserve">Belyaev Oleg. Ergative gender agreement in Dargwa “backward control” or feature sharing? // </w:t>
      </w:r>
      <w:r>
        <w:rPr>
          <w:i w:val="false"/>
          <w:iCs w:val="false"/>
          <w:strike w:val="false"/>
          <w:dstrike w:val="false"/>
          <w:u w:val="none"/>
          <w:effect w:val="none"/>
        </w:rPr>
        <w:t>Proceedings of the Joint 2016 Conference on Head-driven Phrase Structure Grammar and Lexical Functional Grammar, Polish Academy of Sciences, Warsaw, Poland</w:t>
      </w:r>
      <w:r>
        <w:rPr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  <w:t xml:space="preserve"> / Eds. Arnold, Doug, Butt, Miriam etc. — Stanford, CA: CSLI Publications.</w:t>
      </w:r>
    </w:p>
    <w:p>
      <w:pPr>
        <w:pStyle w:val="Style17"/>
        <w:spacing w:lineRule="auto" w:line="360"/>
        <w:rPr/>
      </w:pPr>
      <w:r>
        <w:rPr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Polinsky, Maria and Eric Potsdam. Backward Control.  — Linguistic Inquiry 33, 2002.</w:t>
      </w:r>
    </w:p>
    <w:p>
      <w:pPr>
        <w:pStyle w:val="Normal"/>
        <w:rPr>
          <w:rFonts w:ascii="Helvetica Neue;Arial;Helvetica;sans-serif" w:hAnsi="Helvetica Neue;Arial;Helvetic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18"/>
          <w:u w:val="none"/>
          <w:effect w:val="none"/>
        </w:rPr>
      </w:pPr>
      <w:r>
        <w:rPr>
          <w:rFonts w:ascii="Helvetica Neue;Arial;Helvetica;sans-serif" w:hAnsi="Helvetica Neue;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18"/>
          <w:u w:val="none"/>
          <w:effect w:val="none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653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"/>
    <w:qFormat/>
    <w:rPr>
      <w:i/>
      <w:i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1198</TotalTime>
  <Application>LibreOffice/5.1.6.2$Linux_X86_64 LibreOffice_project/10m0$Build-2</Application>
  <Pages>2</Pages>
  <Words>546</Words>
  <Characters>3759</Characters>
  <CharactersWithSpaces>4307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2018-08-26T14:23:45Z</dcterms:created>
  <dc:creator/>
  <dc:description/>
  <dc:language>ru-RU</dc:language>
  <cp:lastModifiedBy/>
  <dcterms:modified xsi:type="dcterms:W3CDTF">2018-09-05T06:39:23Z</dcterms:modified>
  <cp:revision>4</cp:revision>
  <dc:subject/>
  <dc:title/>
</cp:coreProperties>
</file>